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5D" w:rsidRPr="00225E5D" w:rsidRDefault="00225E5D" w:rsidP="00225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225E5D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>» (в редакции решения Совета от 19.04 2022 № 1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2023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A6097E">
        <w:rPr>
          <w:color w:val="000000"/>
        </w:rPr>
        <w:t>00</w:t>
      </w:r>
      <w:r>
        <w:rPr>
          <w:color w:val="000000"/>
        </w:rPr>
        <w:t>.</w:t>
      </w:r>
      <w:r w:rsidR="00A6097E">
        <w:rPr>
          <w:color w:val="000000"/>
        </w:rPr>
        <w:t>00</w:t>
      </w:r>
      <w:r>
        <w:rPr>
          <w:color w:val="000000"/>
        </w:rPr>
        <w:t>.202</w:t>
      </w:r>
      <w:r w:rsidR="00A6097E">
        <w:rPr>
          <w:color w:val="000000"/>
        </w:rPr>
        <w:t>2</w:t>
      </w:r>
      <w:r w:rsidRPr="00F33442">
        <w:rPr>
          <w:color w:val="000000"/>
        </w:rPr>
        <w:t xml:space="preserve"> № </w:t>
      </w:r>
      <w:r w:rsidR="00A6097E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2023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на территории Берегаевского сельского поселения Тегульдетского района</w:t>
      </w:r>
      <w:proofErr w:type="gramEnd"/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 xml:space="preserve">- соблюдение юридическими лицами, индивидуальными предпринимателями, гражданами обязательных </w:t>
      </w:r>
      <w:proofErr w:type="gramStart"/>
      <w:r w:rsidRPr="00551352">
        <w:rPr>
          <w:rFonts w:ascii="Times New Roman" w:hAnsi="Times New Roman" w:cs="Times New Roman"/>
          <w:sz w:val="24"/>
          <w:szCs w:val="24"/>
        </w:rPr>
        <w:t>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155922"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</w:t>
      </w:r>
      <w:r w:rsidRPr="00867999">
        <w:rPr>
          <w:rFonts w:ascii="Times New Roman" w:hAnsi="Times New Roman" w:cs="Times New Roman"/>
          <w:sz w:val="24"/>
          <w:szCs w:val="24"/>
        </w:rPr>
        <w:lastRenderedPageBreak/>
        <w:t>мероприятия по профилактике таких нарушений в соответствии с программой по профилактике нарушений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BD0836"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  <w:proofErr w:type="gramEnd"/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FA7E82">
        <w:rPr>
          <w:rFonts w:ascii="Times New Roman" w:hAnsi="Times New Roman" w:cs="Times New Roman"/>
          <w:sz w:val="24"/>
          <w:szCs w:val="24"/>
        </w:rPr>
        <w:t>2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Берегаевского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bookmarkStart w:id="6" w:name="_GoBack"/>
      <w:bookmarkEnd w:id="6"/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Берегаевского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54AF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Берегаевского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D8" w:rsidRDefault="00BD3ED8" w:rsidP="009626F7">
      <w:pPr>
        <w:spacing w:after="0" w:line="240" w:lineRule="auto"/>
      </w:pPr>
      <w:r>
        <w:separator/>
      </w:r>
    </w:p>
  </w:endnote>
  <w:endnote w:type="continuationSeparator" w:id="0">
    <w:p w:rsidR="00BD3ED8" w:rsidRDefault="00BD3ED8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D8" w:rsidRDefault="00BD3ED8" w:rsidP="009626F7">
      <w:pPr>
        <w:spacing w:after="0" w:line="240" w:lineRule="auto"/>
      </w:pPr>
      <w:r>
        <w:separator/>
      </w:r>
    </w:p>
  </w:footnote>
  <w:footnote w:type="continuationSeparator" w:id="0">
    <w:p w:rsidR="00BD3ED8" w:rsidRDefault="00BD3ED8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C9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3B1E"/>
    <w:rsid w:val="004124D6"/>
    <w:rsid w:val="00422F16"/>
    <w:rsid w:val="00431A76"/>
    <w:rsid w:val="0046184D"/>
    <w:rsid w:val="00490DC9"/>
    <w:rsid w:val="004A3C64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334D"/>
    <w:rsid w:val="007E1D29"/>
    <w:rsid w:val="00841D8B"/>
    <w:rsid w:val="0085493C"/>
    <w:rsid w:val="00867999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B221A7"/>
    <w:rsid w:val="00B32854"/>
    <w:rsid w:val="00B745EC"/>
    <w:rsid w:val="00BA0265"/>
    <w:rsid w:val="00BB1A2C"/>
    <w:rsid w:val="00BB2FC4"/>
    <w:rsid w:val="00BC40B5"/>
    <w:rsid w:val="00BD0836"/>
    <w:rsid w:val="00BD3ED8"/>
    <w:rsid w:val="00BD7E81"/>
    <w:rsid w:val="00C007A7"/>
    <w:rsid w:val="00C026E3"/>
    <w:rsid w:val="00C0736E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A5C41"/>
    <w:rsid w:val="00FA7E82"/>
    <w:rsid w:val="00FC2207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11</cp:revision>
  <cp:lastPrinted>2021-09-20T07:30:00Z</cp:lastPrinted>
  <dcterms:created xsi:type="dcterms:W3CDTF">2022-10-11T03:54:00Z</dcterms:created>
  <dcterms:modified xsi:type="dcterms:W3CDTF">2022-10-13T04:44:00Z</dcterms:modified>
</cp:coreProperties>
</file>